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28"/>
          <w:szCs w:val="28"/>
        </w:rPr>
      </w:pPr>
      <w:r>
        <w:rPr>
          <w:b/>
          <w:bCs/>
          <w:sz w:val="28"/>
          <w:szCs w:val="28"/>
        </w:rPr>
      </w:r>
    </w:p>
    <w:p>
      <w:pPr>
        <w:pStyle w:val="Ttulo1"/>
        <w:keepNext w:val="false"/>
        <w:spacing w:before="20" w:after="20"/>
        <w:ind w:left="2260" w:hanging="0"/>
        <w:jc w:val="both"/>
        <w:rPr>
          <w:rFonts w:ascii="Times New Roman" w:hAnsi="Times New Roman" w:eastAsia="Times New Roman" w:cs="Times New Roman"/>
          <w:sz w:val="24"/>
          <w:szCs w:val="24"/>
        </w:rPr>
      </w:pPr>
      <w:bookmarkStart w:id="0" w:name="_dbb2mcuadxpc"/>
      <w:bookmarkEnd w:id="0"/>
      <w:r>
        <w:rPr>
          <w:rFonts w:eastAsia="Times New Roman" w:cs="Times New Roman" w:ascii="Times New Roman" w:hAnsi="Times New Roman"/>
          <w:sz w:val="24"/>
          <w:szCs w:val="24"/>
        </w:rPr>
        <w:t>ANTEPROJETO DE LEI N.º , DE 2025</w:t>
      </w:r>
    </w:p>
    <w:p>
      <w:pPr>
        <w:pStyle w:val="Normal"/>
        <w:spacing w:before="20" w:after="20"/>
        <w:ind w:right="60" w:hanging="0"/>
        <w:jc w:val="both"/>
        <w:rPr>
          <w:b/>
          <w:bCs/>
          <w:sz w:val="24"/>
          <w:szCs w:val="24"/>
        </w:rPr>
      </w:pPr>
      <w:r>
        <w:rPr>
          <w:b/>
          <w:bCs/>
          <w:sz w:val="24"/>
          <w:szCs w:val="24"/>
        </w:rPr>
        <w:t xml:space="preserve"> </w:t>
      </w:r>
    </w:p>
    <w:p>
      <w:pPr>
        <w:pStyle w:val="Normal"/>
        <w:spacing w:before="20" w:after="20"/>
        <w:ind w:right="60" w:hanging="0"/>
        <w:jc w:val="both"/>
        <w:rPr>
          <w:b/>
          <w:bCs/>
          <w:sz w:val="24"/>
          <w:szCs w:val="24"/>
        </w:rPr>
      </w:pPr>
      <w:r>
        <w:rPr>
          <w:b/>
          <w:bCs/>
          <w:sz w:val="24"/>
          <w:szCs w:val="24"/>
        </w:rPr>
      </w:r>
    </w:p>
    <w:p>
      <w:pPr>
        <w:pStyle w:val="Normal"/>
        <w:spacing w:before="20" w:after="20"/>
        <w:ind w:left="2260" w:right="60" w:hanging="0"/>
        <w:jc w:val="both"/>
        <w:rPr>
          <w:sz w:val="24"/>
          <w:szCs w:val="24"/>
        </w:rPr>
      </w:pPr>
      <w:r>
        <w:rPr>
          <w:sz w:val="24"/>
          <w:szCs w:val="24"/>
        </w:rPr>
        <w:t>“</w:t>
      </w:r>
      <w:r>
        <w:rPr>
          <w:sz w:val="24"/>
          <w:szCs w:val="24"/>
        </w:rPr>
        <w:t>Altera e cria dispositivos na Lei Municipal, n.º 8.909, de 30 de Julho de 2025, que dispõe sobre a regularização de imóveis construídos em lotes de esquina que apresentem invasão em passeio público”</w:t>
      </w:r>
    </w:p>
    <w:p>
      <w:pPr>
        <w:pStyle w:val="Normal"/>
        <w:spacing w:before="20" w:after="20"/>
        <w:ind w:left="2260" w:right="60" w:hanging="0"/>
        <w:jc w:val="both"/>
        <w:rPr>
          <w:b/>
          <w:bCs/>
          <w:sz w:val="24"/>
          <w:szCs w:val="24"/>
        </w:rPr>
      </w:pPr>
      <w:r>
        <w:rPr>
          <w:b/>
          <w:bCs/>
          <w:sz w:val="24"/>
          <w:szCs w:val="24"/>
        </w:rPr>
        <w:t xml:space="preserve"> </w:t>
      </w:r>
    </w:p>
    <w:p>
      <w:pPr>
        <w:pStyle w:val="Normal"/>
        <w:spacing w:before="20" w:after="20"/>
        <w:ind w:left="2260" w:right="60" w:hanging="0"/>
        <w:jc w:val="both"/>
        <w:rPr>
          <w:b/>
          <w:bCs/>
          <w:sz w:val="24"/>
          <w:szCs w:val="24"/>
        </w:rPr>
      </w:pPr>
      <w:r>
        <w:rPr>
          <w:b/>
          <w:bCs/>
          <w:sz w:val="24"/>
          <w:szCs w:val="24"/>
        </w:rPr>
      </w:r>
    </w:p>
    <w:p>
      <w:pPr>
        <w:pStyle w:val="Normal"/>
        <w:spacing w:before="20" w:after="20"/>
        <w:ind w:left="2260" w:right="60" w:firstLine="20"/>
        <w:jc w:val="both"/>
        <w:rPr>
          <w:b/>
          <w:bCs/>
          <w:sz w:val="24"/>
          <w:szCs w:val="24"/>
        </w:rPr>
      </w:pPr>
      <w:r>
        <w:rPr>
          <w:b/>
          <w:bCs/>
          <w:sz w:val="24"/>
          <w:szCs w:val="24"/>
        </w:rPr>
        <w:t>A CÂMARA MUNICIPAL DE ARAÇATUBA DECRETA:</w:t>
      </w:r>
    </w:p>
    <w:p>
      <w:pPr>
        <w:pStyle w:val="Normal"/>
        <w:spacing w:before="20" w:after="20"/>
        <w:ind w:right="60" w:hanging="0"/>
        <w:jc w:val="both"/>
        <w:rPr>
          <w:b/>
          <w:bCs/>
          <w:sz w:val="24"/>
          <w:szCs w:val="24"/>
        </w:rPr>
      </w:pPr>
      <w:r>
        <w:rPr>
          <w:b/>
          <w:bCs/>
          <w:sz w:val="24"/>
          <w:szCs w:val="24"/>
        </w:rPr>
        <w:t xml:space="preserve"> </w:t>
      </w:r>
    </w:p>
    <w:p>
      <w:pPr>
        <w:pStyle w:val="Normal"/>
        <w:spacing w:before="20" w:after="20"/>
        <w:ind w:right="60" w:hanging="0"/>
        <w:jc w:val="both"/>
        <w:rPr>
          <w:b/>
          <w:bCs/>
          <w:sz w:val="24"/>
          <w:szCs w:val="24"/>
        </w:rPr>
      </w:pPr>
      <w:r>
        <w:rPr>
          <w:b/>
          <w:bCs/>
          <w:sz w:val="24"/>
          <w:szCs w:val="24"/>
        </w:rPr>
      </w:r>
    </w:p>
    <w:p>
      <w:pPr>
        <w:pStyle w:val="Normal"/>
        <w:spacing w:before="20" w:after="20"/>
        <w:ind w:right="60" w:firstLine="2267"/>
        <w:jc w:val="both"/>
        <w:rPr>
          <w:sz w:val="24"/>
          <w:szCs w:val="24"/>
        </w:rPr>
      </w:pPr>
      <w:r>
        <w:rPr>
          <w:b/>
          <w:bCs/>
          <w:sz w:val="24"/>
          <w:szCs w:val="24"/>
        </w:rPr>
        <w:t>Art. 1.º</w:t>
      </w:r>
      <w:r>
        <w:rPr>
          <w:sz w:val="24"/>
          <w:szCs w:val="24"/>
        </w:rPr>
        <w:t xml:space="preserve"> Os arts. 1.º, 2.º  e 3.º da Lei Municipal, n.º 8.909, de 30 de Julho de 2025, que dispõe sobre a regularização de imóveis construídos em lotes de esquina que apresentem invasão em passeio público, passam a vigorar com as seguintes alterações:</w:t>
      </w:r>
    </w:p>
    <w:p>
      <w:pPr>
        <w:pStyle w:val="Normal"/>
        <w:spacing w:before="20" w:after="20"/>
        <w:ind w:right="60" w:firstLine="2267"/>
        <w:jc w:val="both"/>
        <w:rPr>
          <w:b/>
          <w:bCs/>
          <w:sz w:val="24"/>
          <w:szCs w:val="24"/>
        </w:rPr>
      </w:pPr>
      <w:r>
        <w:rPr>
          <w:b/>
          <w:bCs/>
          <w:sz w:val="24"/>
          <w:szCs w:val="24"/>
        </w:rPr>
      </w:r>
    </w:p>
    <w:p>
      <w:pPr>
        <w:pStyle w:val="Normal"/>
        <w:spacing w:before="20" w:after="20"/>
        <w:ind w:right="60" w:firstLine="2267"/>
        <w:jc w:val="both"/>
        <w:rPr>
          <w:b/>
          <w:bCs/>
          <w:sz w:val="24"/>
          <w:szCs w:val="24"/>
        </w:rPr>
      </w:pPr>
      <w:r>
        <w:rPr>
          <w:b/>
          <w:bCs/>
          <w:sz w:val="24"/>
          <w:szCs w:val="24"/>
        </w:rPr>
        <w:t>“</w:t>
      </w:r>
      <w:r>
        <w:rPr>
          <w:b/>
          <w:bCs/>
          <w:sz w:val="24"/>
          <w:szCs w:val="24"/>
        </w:rPr>
        <w:t>Art. 1.º Fica o Poder Executivo autorizado a regularizar, para fins de emissão de habite-se, os imóveis construídos em lotes de esquina que apresentem invasão em passeio público, limitada à área de curvatura, desde que cumpridos os requisitos desta Lei.” (NR)</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w:t>
      </w:r>
      <w:r>
        <w:rPr>
          <w:b/>
          <w:bCs/>
          <w:sz w:val="24"/>
          <w:szCs w:val="24"/>
        </w:rPr>
        <w:t>Art. 2.º A regularização de que trata o artigo anterior será permitida desde que:</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I - a solicitação seja requerida exclusivamente pelo proprietário do imóvel;</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II - o imóvel em questão tenha sido construído até a data da promulgação desta Lei, mediante a comprovação da data da construção;</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III - não haja obstrução do passeio público que prejudique a mobilidade urbana, a segurança de pedestres e a possível implantação de mobiliário urbano, sinalização, vegetação e outros fins, segundo as normas especificadas na NBR 9050;</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IV - exista área construída dentro da área invadida;</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V - não haja prejuízo a lotes vizinhos, equipamentos públicos ou ao tráfego de veículos;</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VI - seja protocolada solicitação de anuência da Prefeitura para retificação da área, instruída de documentação técnica assinada por profissional habilitado com planta da situação existente;</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VII - comprovação de que a ocupação ocorreu sem dolo.</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 1.º Para fins desta Lei, considera-se área construída aquela que possua área coberta por elemento construtivo permanente.</w:t>
      </w:r>
    </w:p>
    <w:p>
      <w:pPr>
        <w:pStyle w:val="Normal"/>
        <w:spacing w:before="20" w:after="20"/>
        <w:ind w:right="60" w:firstLine="2260"/>
        <w:jc w:val="both"/>
        <w:rPr>
          <w:b/>
          <w:bCs/>
          <w:sz w:val="24"/>
          <w:szCs w:val="24"/>
        </w:rPr>
      </w:pPr>
      <w:r>
        <w:rPr>
          <w:b/>
          <w:bCs/>
          <w:sz w:val="24"/>
          <w:szCs w:val="24"/>
        </w:rPr>
        <w:t xml:space="preserve"> </w:t>
      </w:r>
    </w:p>
    <w:p>
      <w:pPr>
        <w:pStyle w:val="Normal"/>
        <w:spacing w:before="20" w:after="20"/>
        <w:ind w:right="60" w:firstLine="2260"/>
        <w:jc w:val="both"/>
        <w:rPr>
          <w:b/>
          <w:bCs/>
          <w:sz w:val="24"/>
          <w:szCs w:val="24"/>
        </w:rPr>
      </w:pPr>
      <w:r>
        <w:rPr>
          <w:b/>
          <w:bCs/>
          <w:sz w:val="24"/>
          <w:szCs w:val="24"/>
        </w:rPr>
        <w:t>§ 2.º A mera existência de muro ou de elemento de cobertura de caráter não-permanente na área invadida, sujeita o invasor à sua desocupação.”</w:t>
      </w:r>
      <w:r>
        <w:rPr>
          <w:b/>
          <w:bCs/>
          <w:sz w:val="28"/>
          <w:szCs w:val="28"/>
        </w:rPr>
        <w:t xml:space="preserve"> (NR)</w:t>
      </w:r>
    </w:p>
    <w:p>
      <w:pPr>
        <w:pStyle w:val="Normal"/>
        <w:spacing w:before="20" w:after="20"/>
        <w:ind w:right="60" w:firstLine="2260"/>
        <w:jc w:val="both"/>
        <w:rPr>
          <w:b/>
          <w:bCs/>
          <w:sz w:val="24"/>
          <w:szCs w:val="24"/>
        </w:rPr>
      </w:pPr>
      <w:r>
        <w:rPr>
          <w:b/>
          <w:bCs/>
          <w:sz w:val="24"/>
          <w:szCs w:val="24"/>
        </w:rPr>
      </w:r>
    </w:p>
    <w:p>
      <w:pPr>
        <w:pStyle w:val="Normal"/>
        <w:spacing w:before="20" w:after="20"/>
        <w:ind w:right="60" w:firstLine="2260"/>
        <w:jc w:val="both"/>
        <w:rPr>
          <w:b/>
          <w:bCs/>
          <w:sz w:val="24"/>
          <w:szCs w:val="24"/>
        </w:rPr>
      </w:pPr>
      <w:r>
        <w:rPr>
          <w:b/>
          <w:bCs/>
          <w:sz w:val="24"/>
          <w:szCs w:val="24"/>
        </w:rPr>
        <w:t>“</w:t>
      </w:r>
      <w:r>
        <w:rPr>
          <w:b/>
          <w:bCs/>
          <w:sz w:val="24"/>
          <w:szCs w:val="24"/>
        </w:rPr>
        <w:t>Art. 3º. As áreas de invasão regularizáveis somente poderão ser alienadas após desafetação, que ocorrerá por meio de lei municipal específica, abrangendo de forma agrupada as áreas com parecer favorável do Executivo Municipal no período de 1 (um) ano, antecipável até 6 (seis) meses.</w:t>
      </w:r>
    </w:p>
    <w:p>
      <w:pPr>
        <w:pStyle w:val="Normal"/>
        <w:spacing w:before="20" w:after="20"/>
        <w:ind w:right="60" w:firstLine="2260"/>
        <w:jc w:val="both"/>
        <w:rPr>
          <w:b/>
          <w:bCs/>
          <w:sz w:val="24"/>
          <w:szCs w:val="24"/>
        </w:rPr>
      </w:pPr>
      <w:r>
        <w:rPr>
          <w:b/>
          <w:bCs/>
          <w:sz w:val="24"/>
          <w:szCs w:val="24"/>
        </w:rPr>
      </w:r>
    </w:p>
    <w:p>
      <w:pPr>
        <w:pStyle w:val="Normal"/>
        <w:spacing w:before="20" w:after="20"/>
        <w:ind w:right="60" w:firstLine="2260"/>
        <w:jc w:val="both"/>
        <w:rPr>
          <w:b/>
          <w:bCs/>
          <w:sz w:val="24"/>
          <w:szCs w:val="24"/>
        </w:rPr>
      </w:pPr>
      <w:r>
        <w:rPr>
          <w:b/>
          <w:bCs/>
          <w:sz w:val="24"/>
          <w:szCs w:val="24"/>
        </w:rPr>
        <w:t>§ 1º. A alienação se dará mediante outorga onerosa de direito real sobre a área, após avaliação técnica com base na NBR 14.653/2019, desconsiderando benfeitorias, e com pagamento integral do valor apurado.</w:t>
      </w:r>
    </w:p>
    <w:p>
      <w:pPr>
        <w:pStyle w:val="Normal"/>
        <w:spacing w:before="20" w:after="20"/>
        <w:ind w:right="60" w:firstLine="2260"/>
        <w:jc w:val="both"/>
        <w:rPr>
          <w:b/>
          <w:bCs/>
          <w:sz w:val="24"/>
          <w:szCs w:val="24"/>
        </w:rPr>
      </w:pPr>
      <w:r>
        <w:rPr>
          <w:b/>
          <w:bCs/>
          <w:sz w:val="24"/>
          <w:szCs w:val="24"/>
        </w:rPr>
      </w:r>
    </w:p>
    <w:p>
      <w:pPr>
        <w:pStyle w:val="Normal"/>
        <w:spacing w:before="20" w:after="20"/>
        <w:ind w:right="60" w:firstLine="2260"/>
        <w:jc w:val="both"/>
        <w:rPr>
          <w:b/>
          <w:bCs/>
          <w:sz w:val="24"/>
          <w:szCs w:val="24"/>
        </w:rPr>
      </w:pPr>
      <w:r>
        <w:rPr>
          <w:b/>
          <w:bCs/>
          <w:sz w:val="24"/>
          <w:szCs w:val="24"/>
        </w:rPr>
        <w:t>§ 2º. Os valores arrecadados serão destinados obrigatoriamente ao Fundo Municipal de Habitação e Desenvolvimento Urbano – FMHDU.” (NR)</w:t>
      </w:r>
    </w:p>
    <w:p>
      <w:pPr>
        <w:pStyle w:val="Normal"/>
        <w:spacing w:before="20" w:after="20"/>
        <w:ind w:right="60" w:firstLine="2260"/>
        <w:jc w:val="both"/>
        <w:rPr>
          <w:b/>
          <w:bCs/>
          <w:sz w:val="24"/>
          <w:szCs w:val="24"/>
        </w:rPr>
      </w:pPr>
      <w:r>
        <w:rPr>
          <w:b/>
          <w:bCs/>
          <w:sz w:val="24"/>
          <w:szCs w:val="24"/>
        </w:rPr>
      </w:r>
    </w:p>
    <w:p>
      <w:pPr>
        <w:pStyle w:val="Normal"/>
        <w:spacing w:before="20" w:after="20"/>
        <w:ind w:right="60" w:firstLine="2260"/>
        <w:jc w:val="both"/>
        <w:rPr>
          <w:sz w:val="24"/>
          <w:szCs w:val="24"/>
        </w:rPr>
      </w:pPr>
      <w:r>
        <w:rPr>
          <w:b/>
          <w:bCs/>
          <w:sz w:val="24"/>
          <w:szCs w:val="24"/>
        </w:rPr>
        <w:t xml:space="preserve">Art. 2.º </w:t>
      </w:r>
      <w:r>
        <w:rPr>
          <w:sz w:val="24"/>
          <w:szCs w:val="24"/>
        </w:rPr>
        <w:t>Ficam criados os arts. 2.º-A, 2.º-B,  2.º-C  e 6.º-A na  Lei Municipal, n.º 8.909, de 30 de Julho de 2025, com a seguinte redação:</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w:t>
      </w:r>
      <w:r>
        <w:rPr>
          <w:b/>
          <w:bCs/>
          <w:sz w:val="24"/>
          <w:szCs w:val="24"/>
        </w:rPr>
        <w:t>Art. 2.º-A. A regularização estará sujeita aos seguintes critérios técnicos:</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I – o avanço da edificação sobre o passeio não poderá ultrapassar a projeção linear da continuidade das testadas do lote;</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II – a área total invadida não poderá exceder 8 m²;</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III – a largura mínima da calçada deverá ser mantida em conformidade com as áreas adjacentes, aplicando-se a curvatura de confluência quando houver divergência de medidas.</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 1.º Casos que excedam os limites dos incisos I e II poderão ser regularizados se comprovado que a execução dos limites do lote foi orientada pela guia de sarjeta.</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 2.º Casos que não atendam ao inciso III dependerão de estudo urbanístico específico, podendo ser exigida reforma ou demolição parcial, sendo de responsabilidade do proprietário a execução das medidas corretivas, bem como os custos.</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Art. 2.º-B. O indeferimento do pedido de regularização deverá ser fundamentado tecnicamente e comunicado ao requerente, facultando-lhe apresentar recurso administrativo no prazo de 30 (trinta) dias ao Secretário Municipal de Planejamento Urbano e Habitação, que poderá delegar a análise do recurso à comissão técnica designada por ato do Executivo em Decreto Municipal.</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Art. 2.º-C. O pedido de regularização deverá ser instruído, no mínimo, com:</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I – requerimento;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II – comprovante de propriedade do imóvel;</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III – planta georreferenciada e levantamento topográfico;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IV – croqui de desmembramento/remembramento;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V – memorial descritivo;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VI – laudo técnico de vistoria comprovando a consolidação da edificação;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VII – ART ou RRT correspondentes;</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VIII – declaração do proprietário sobre ausência de dolo.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Parágrafo único. A Prefeitura realizará análise urbanística, de mobilidade, de acessibilidade e jurídica, emitindo parecer conclusivo quanto à viabilidade da regularização.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Art. 6º-A O Poder Executivo poderá expedir regulamento para detalhar procedimentos técnicos, prazos e formulários necessários, bem como os métodos de pagamento e os reajustes financeiros, por meio de decreto, resolução ou instrução técnica. (NR)”</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sz w:val="24"/>
          <w:szCs w:val="24"/>
        </w:rPr>
      </w:pPr>
      <w:r>
        <w:rPr>
          <w:b/>
          <w:bCs/>
          <w:sz w:val="24"/>
          <w:szCs w:val="24"/>
        </w:rPr>
        <w:t xml:space="preserve">Art. 3.º </w:t>
      </w:r>
      <w:r>
        <w:rPr>
          <w:sz w:val="24"/>
          <w:szCs w:val="24"/>
        </w:rPr>
        <w:t>Fica criado um parágrafo único no art. 4.º  da Lei Municipal n.º 8.909, de 30 de Julho de 2025, com a seguinte redação:</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w:t>
      </w:r>
      <w:r>
        <w:rPr>
          <w:b/>
          <w:bCs/>
          <w:sz w:val="24"/>
          <w:szCs w:val="24"/>
        </w:rPr>
        <w:t>Art. 4.º .......................................................................................</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Parágrafo único. Constatada a existência de processo de regularização, o Município poderá requerer ao Registro de Imóveis a averbação informativa na matrícula do imóvel, com caráter meramente declaratório, para resguardar terceiros, remetendo ao proprietário as custas da averbação. (NR)”</w:t>
      </w:r>
    </w:p>
    <w:p>
      <w:pPr>
        <w:pStyle w:val="Normal"/>
        <w:spacing w:before="20" w:after="2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t>Art. 4.º Esta Lei entra em vigor na data de sua publicação.</w:t>
      </w:r>
    </w:p>
    <w:p>
      <w:pPr>
        <w:pStyle w:val="Normal"/>
        <w:spacing w:before="20" w:after="20"/>
        <w:ind w:left="1400" w:hanging="0"/>
        <w:jc w:val="both"/>
        <w:rPr>
          <w:b/>
          <w:bCs/>
          <w:sz w:val="24"/>
          <w:szCs w:val="24"/>
        </w:rPr>
      </w:pPr>
      <w:r>
        <w:rPr>
          <w:b/>
          <w:bCs/>
          <w:sz w:val="24"/>
          <w:szCs w:val="24"/>
        </w:rPr>
        <w:t xml:space="preserve"> </w:t>
      </w:r>
    </w:p>
    <w:p>
      <w:pPr>
        <w:pStyle w:val="Normal"/>
        <w:spacing w:before="20" w:after="20"/>
        <w:ind w:left="1400" w:hanging="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Sala das Sessões, 11 de novembro de 2025</w:t>
      </w:r>
    </w:p>
    <w:p>
      <w:pPr>
        <w:pStyle w:val="Normal"/>
        <w:spacing w:before="20" w:after="20"/>
        <w:ind w:firstLine="2260"/>
        <w:jc w:val="both"/>
        <w:rPr>
          <w:b/>
          <w:bCs/>
          <w:sz w:val="24"/>
          <w:szCs w:val="24"/>
        </w:rPr>
      </w:pPr>
      <w:r>
        <w:rPr>
          <w:b/>
          <w:bCs/>
          <w:sz w:val="24"/>
          <w:szCs w:val="24"/>
        </w:rPr>
        <w:t xml:space="preserve"> </w:t>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r>
    </w:p>
    <w:p>
      <w:pPr>
        <w:pStyle w:val="Normal"/>
        <w:spacing w:before="20" w:after="20"/>
        <w:ind w:firstLine="2260"/>
        <w:jc w:val="both"/>
        <w:rPr>
          <w:b/>
          <w:bCs/>
          <w:sz w:val="24"/>
          <w:szCs w:val="24"/>
        </w:rPr>
      </w:pPr>
      <w:r>
        <w:rPr>
          <w:b/>
          <w:bCs/>
          <w:sz w:val="24"/>
          <w:szCs w:val="24"/>
        </w:rPr>
        <w:t>LUÍS BOATTO</w:t>
      </w:r>
    </w:p>
    <w:p>
      <w:pPr>
        <w:pStyle w:val="Normal"/>
        <w:spacing w:before="20" w:after="20"/>
        <w:ind w:firstLine="2260"/>
        <w:jc w:val="both"/>
        <w:rPr>
          <w:b/>
          <w:bCs/>
          <w:sz w:val="24"/>
          <w:szCs w:val="24"/>
        </w:rPr>
      </w:pPr>
      <w:r>
        <w:rPr>
          <w:b/>
          <w:bCs/>
          <w:sz w:val="24"/>
          <w:szCs w:val="24"/>
        </w:rPr>
        <w:t>VEREADOR – SOLIDARIEDADE</w:t>
      </w:r>
    </w:p>
    <w:p>
      <w:pPr>
        <w:pStyle w:val="Normal"/>
        <w:spacing w:before="20" w:after="20"/>
        <w:ind w:firstLine="2268"/>
        <w:jc w:val="both"/>
        <w:rPr>
          <w:b/>
          <w:bCs/>
          <w:sz w:val="28"/>
          <w:szCs w:val="28"/>
        </w:rPr>
      </w:pPr>
      <w:r>
        <w:rPr>
          <w:b/>
          <w:bCs/>
          <w:sz w:val="28"/>
          <w:szCs w:val="28"/>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985" w:right="1418" w:gutter="0" w:header="720" w:top="2268" w:footer="720" w:bottom="1418"/>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Georgia">
    <w:charset w:val="00"/>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jc w:val="center"/>
      <w:rPr>
        <w:b/>
        <w:bCs/>
        <w:color w:val="000000"/>
      </w:rPr>
    </w:pPr>
    <w:r>
      <w:rPr>
        <w:b/>
        <w:bCs/>
        <w:color w:val="000000"/>
      </w:rPr>
      <w:t>Praça 9 de Julho, 26 – Centro – 16010-060 - Araçatuba/SP – Telefone: (18) 3636-5000</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jc w:val="center"/>
      <w:rPr>
        <w:b/>
        <w:bCs/>
        <w:color w:val="000000"/>
      </w:rPr>
    </w:pPr>
    <w:r>
      <w:rPr>
        <w:b/>
        <w:bCs/>
        <w:color w:val="000000"/>
      </w:rPr>
      <w:t>Praça 9 de Julho, 26 – Centro – 16010-060 - Araçatuba/SP – Telefone: (18) 3636-5000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rPr>
        <w:color w:val="000000"/>
      </w:rPr>
    </w:pPr>
    <w:r>
      <w:rPr>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jc w:val="center"/>
      <w:rPr>
        <w:b/>
        <w:bCs/>
        <w:color w:val="000000"/>
        <w:sz w:val="44"/>
        <w:szCs w:val="44"/>
      </w:rPr>
    </w:pPr>
    <w:r>
      <w:rPr>
        <w:b/>
        <w:bCs/>
        <w:color w:val="000000"/>
        <w:sz w:val="44"/>
        <w:szCs w:val="44"/>
      </w:rPr>
    </w:r>
  </w:p>
  <w:p>
    <w:pPr>
      <w:pStyle w:val="Normal"/>
      <w:pBdr/>
      <w:tabs>
        <w:tab w:val="clear" w:pos="720"/>
        <w:tab w:val="center" w:pos="4419" w:leader="none"/>
        <w:tab w:val="right" w:pos="8838" w:leader="none"/>
      </w:tabs>
      <w:jc w:val="center"/>
      <w:rPr>
        <w:b/>
        <w:bCs/>
        <w:color w:val="000000"/>
        <w:sz w:val="44"/>
        <w:szCs w:val="44"/>
      </w:rPr>
    </w:pPr>
    <w:r>
      <w:rPr>
        <w:b/>
        <w:bCs/>
        <w:color w:val="000000"/>
        <w:sz w:val="44"/>
        <w:szCs w:val="44"/>
      </w:rPr>
      <w:drawing>
        <wp:anchor behindDoc="1" distT="0" distB="0" distL="0" distR="0" simplePos="0" locked="0" layoutInCell="1" allowOverlap="1" relativeHeight="5">
          <wp:simplePos x="0" y="0"/>
          <wp:positionH relativeFrom="column">
            <wp:posOffset>114300</wp:posOffset>
          </wp:positionH>
          <wp:positionV relativeFrom="paragraph">
            <wp:posOffset>635</wp:posOffset>
          </wp:positionV>
          <wp:extent cx="523875" cy="57150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523875" cy="571500"/>
                  </a:xfrm>
                  <a:prstGeom prst="rect">
                    <a:avLst/>
                  </a:prstGeom>
                </pic:spPr>
              </pic:pic>
            </a:graphicData>
          </a:graphic>
        </wp:anchor>
      </w:drawing>
    </w:r>
    <w:r>
      <w:rPr>
        <w:b/>
        <w:bCs/>
        <w:color w:val="000000"/>
        <w:sz w:val="44"/>
        <w:szCs w:val="44"/>
      </w:rPr>
      <w:t>Câmara Municipal de Araçatuba</w:t>
    </w:r>
  </w:p>
  <w:p>
    <w:pPr>
      <w:pStyle w:val="Normal"/>
      <w:pBdr/>
      <w:tabs>
        <w:tab w:val="clear" w:pos="720"/>
        <w:tab w:val="center" w:pos="4419" w:leader="none"/>
        <w:tab w:val="right" w:pos="8838" w:leader="none"/>
      </w:tabs>
      <w:jc w:val="center"/>
      <w:rPr>
        <w:color w:val="000000"/>
        <w:sz w:val="30"/>
        <w:szCs w:val="30"/>
      </w:rPr>
    </w:pPr>
    <w:r>
      <w:rPr>
        <w:color w:val="000000"/>
        <w:sz w:val="30"/>
        <w:szCs w:val="30"/>
      </w:rPr>
      <w:t>Estado de São Paulo</w:t>
    </w:r>
  </w:p>
  <w:p>
    <w:pPr>
      <w:pStyle w:val="Normal"/>
      <w:pBdr/>
      <w:tabs>
        <w:tab w:val="clear" w:pos="720"/>
        <w:tab w:val="center" w:pos="4419" w:leader="none"/>
        <w:tab w:val="right" w:pos="8838"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419" w:leader="none"/>
        <w:tab w:val="right" w:pos="8838" w:leader="none"/>
      </w:tabs>
      <w:jc w:val="center"/>
      <w:rPr>
        <w:b/>
        <w:bCs/>
        <w:color w:val="000000"/>
        <w:sz w:val="44"/>
        <w:szCs w:val="44"/>
      </w:rPr>
    </w:pPr>
    <w:r>
      <w:rPr>
        <w:b/>
        <w:bCs/>
        <w:color w:val="000000"/>
        <w:sz w:val="44"/>
        <w:szCs w:val="44"/>
      </w:rPr>
    </w:r>
  </w:p>
  <w:p>
    <w:pPr>
      <w:pStyle w:val="Normal"/>
      <w:pBdr/>
      <w:tabs>
        <w:tab w:val="clear" w:pos="720"/>
        <w:tab w:val="center" w:pos="4419" w:leader="none"/>
        <w:tab w:val="right" w:pos="8838" w:leader="none"/>
      </w:tabs>
      <w:jc w:val="center"/>
      <w:rPr>
        <w:b/>
        <w:bCs/>
        <w:color w:val="000000"/>
        <w:sz w:val="44"/>
        <w:szCs w:val="44"/>
      </w:rPr>
    </w:pPr>
    <w:r>
      <w:rPr>
        <w:b/>
        <w:bCs/>
        <w:color w:val="000000"/>
        <w:sz w:val="44"/>
        <w:szCs w:val="44"/>
      </w:rPr>
      <w:drawing>
        <wp:anchor behindDoc="1" distT="0" distB="0" distL="0" distR="0" simplePos="0" locked="0" layoutInCell="1" allowOverlap="1" relativeHeight="5">
          <wp:simplePos x="0" y="0"/>
          <wp:positionH relativeFrom="column">
            <wp:posOffset>114300</wp:posOffset>
          </wp:positionH>
          <wp:positionV relativeFrom="paragraph">
            <wp:posOffset>635</wp:posOffset>
          </wp:positionV>
          <wp:extent cx="523875" cy="57150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523875" cy="571500"/>
                  </a:xfrm>
                  <a:prstGeom prst="rect">
                    <a:avLst/>
                  </a:prstGeom>
                </pic:spPr>
              </pic:pic>
            </a:graphicData>
          </a:graphic>
        </wp:anchor>
      </w:drawing>
    </w:r>
    <w:r>
      <w:rPr>
        <w:b/>
        <w:bCs/>
        <w:color w:val="000000"/>
        <w:sz w:val="44"/>
        <w:szCs w:val="44"/>
      </w:rPr>
      <w:t>Câmara Municipal de Araçatuba</w:t>
    </w:r>
  </w:p>
  <w:p>
    <w:pPr>
      <w:pStyle w:val="Normal"/>
      <w:pBdr/>
      <w:tabs>
        <w:tab w:val="clear" w:pos="720"/>
        <w:tab w:val="center" w:pos="4419" w:leader="none"/>
        <w:tab w:val="right" w:pos="8838" w:leader="none"/>
      </w:tabs>
      <w:jc w:val="center"/>
      <w:rPr>
        <w:color w:val="000000"/>
        <w:sz w:val="30"/>
        <w:szCs w:val="30"/>
      </w:rPr>
    </w:pPr>
    <w:r>
      <w:rPr>
        <w:color w:val="000000"/>
        <w:sz w:val="30"/>
        <w:szCs w:val="30"/>
      </w:rPr>
      <w:t>Estado de São Paulo</w:t>
    </w:r>
  </w:p>
  <w:p>
    <w:pPr>
      <w:pStyle w:val="Normal"/>
      <w:pBdr/>
      <w:tabs>
        <w:tab w:val="clear" w:pos="720"/>
        <w:tab w:val="center" w:pos="4419" w:leader="none"/>
        <w:tab w:val="right" w:pos="8838" w:leader="none"/>
      </w:tabs>
      <w:rPr>
        <w:color w:val="000000"/>
      </w:rPr>
    </w:pPr>
    <w:r>
      <w:rPr>
        <w:color w:val="000000"/>
      </w:rPr>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Times New Roman" w:hAnsi="Times New Roman" w:eastAsia="Times New Roman" w:cs="Times New Roman"/>
      <w:color w:val="auto"/>
      <w:kern w:val="0"/>
      <w:sz w:val="20"/>
      <w:szCs w:val="20"/>
      <w:lang w:val="pt-BR" w:eastAsia="pt-BR" w:bidi="ar-SA"/>
    </w:rPr>
  </w:style>
  <w:style w:type="paragraph" w:styleId="Ttulo1">
    <w:name w:val="Heading 1"/>
    <w:basedOn w:val="Normal"/>
    <w:next w:val="Normal"/>
    <w:uiPriority w:val="9"/>
    <w:qFormat/>
    <w:pPr>
      <w:keepNext w:val="true"/>
      <w:spacing w:before="240" w:after="60"/>
      <w:outlineLvl w:val="0"/>
    </w:pPr>
    <w:rPr>
      <w:rFonts w:ascii="Cambria" w:hAnsi="Cambria" w:eastAsia="Cambria" w:cs="Cambria"/>
      <w:b/>
      <w:bCs/>
      <w:sz w:val="32"/>
      <w:szCs w:val="32"/>
    </w:rPr>
  </w:style>
  <w:style w:type="paragraph" w:styleId="Ttulo2">
    <w:name w:val="Heading 2"/>
    <w:basedOn w:val="Normal"/>
    <w:next w:val="Normal"/>
    <w:uiPriority w:val="9"/>
    <w:unhideWhenUsed/>
    <w:qFormat/>
    <w:pPr>
      <w:keepNext w:val="true"/>
      <w:keepLines/>
      <w:spacing w:before="360" w:after="80"/>
      <w:outlineLvl w:val="1"/>
    </w:pPr>
    <w:rPr>
      <w:b/>
      <w:bCs/>
      <w:sz w:val="36"/>
      <w:szCs w:val="36"/>
    </w:rPr>
  </w:style>
  <w:style w:type="paragraph" w:styleId="Ttulo3">
    <w:name w:val="Heading 3"/>
    <w:basedOn w:val="Normal"/>
    <w:next w:val="Normal"/>
    <w:uiPriority w:val="9"/>
    <w:unhideWhenUsed/>
    <w:qFormat/>
    <w:pPr>
      <w:keepNext w:val="true"/>
      <w:ind w:left="2268" w:hanging="0"/>
      <w:jc w:val="both"/>
      <w:outlineLvl w:val="2"/>
    </w:pPr>
    <w:rPr>
      <w:b/>
      <w:bCs/>
      <w:sz w:val="32"/>
      <w:szCs w:val="32"/>
    </w:rPr>
  </w:style>
  <w:style w:type="paragraph" w:styleId="Ttulo4">
    <w:name w:val="Heading 4"/>
    <w:basedOn w:val="Normal"/>
    <w:next w:val="Normal"/>
    <w:uiPriority w:val="9"/>
    <w:semiHidden/>
    <w:unhideWhenUsed/>
    <w:qFormat/>
    <w:pPr>
      <w:keepNext w:val="true"/>
      <w:ind w:left="2268" w:hanging="0"/>
      <w:jc w:val="both"/>
      <w:outlineLvl w:val="3"/>
    </w:pPr>
    <w:rPr>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bCs/>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dodocumento">
    <w:name w:val="Title"/>
    <w:basedOn w:val="Normal"/>
    <w:next w:val="Normal"/>
    <w:uiPriority w:val="10"/>
    <w:qFormat/>
    <w:pPr>
      <w:jc w:val="center"/>
    </w:pPr>
    <w:rPr>
      <w:b/>
      <w:bCs/>
      <w:sz w:val="26"/>
      <w:szCs w:val="26"/>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LibreOffice/7.5.8.2$Windows_X86_64 LibreOffice_project/f718d63693263970429a68f568db6046aaa9df01</Application>
  <AppVersion>15.0000</AppVersion>
  <Pages>4</Pages>
  <Words>845</Words>
  <Characters>4703</Characters>
  <CharactersWithSpaces>5544</CharactersWithSpaces>
  <Paragraphs>71</Paragraphs>
  <Company>CAMARA MUNICIPAL DE ARACATUBA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2025-11-13T11:06:00Z</dcterms:created>
  <dc:creator>Genilson Kajiwara</dc:creator>
  <dc:description/>
  <dc:language>pt-BR</dc:language>
  <cp:lastModifiedBy/>
  <dcterms:modified xsi:type="dcterms:W3CDTF">2025-11-13T08:11:23Z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